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7E" w:rsidRPr="00025FEB" w:rsidRDefault="00172A7E" w:rsidP="00172A7E">
      <w:pPr>
        <w:spacing w:line="360" w:lineRule="auto"/>
        <w:jc w:val="center"/>
        <w:rPr>
          <w:rFonts w:ascii="Century Gothic" w:hAnsi="Century Gothic" w:cs="Tahoma"/>
          <w:b/>
          <w:color w:val="000000"/>
          <w:sz w:val="32"/>
        </w:rPr>
      </w:pPr>
      <w:r w:rsidRPr="00025FEB">
        <w:rPr>
          <w:rFonts w:ascii="Century Gothic" w:hAnsi="Century Gothic" w:cs="Tahoma"/>
          <w:b/>
          <w:color w:val="000000"/>
          <w:sz w:val="32"/>
        </w:rPr>
        <w:t>Le Provvidenze ELBA 2015</w:t>
      </w:r>
    </w:p>
    <w:p w:rsidR="00172A7E" w:rsidRPr="00966014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</w:rPr>
      </w:pPr>
    </w:p>
    <w:p w:rsidR="00172A7E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Dal 1.1.2015 è possibile domandare ad ELBA richiesta di contributo per le seguenti provvidenze (cliccando su ogni singola provvidenza è possibile accedere al sito ELBA).</w:t>
      </w:r>
      <w:bookmarkStart w:id="0" w:name="_GoBack"/>
      <w:bookmarkEnd w:id="0"/>
    </w:p>
    <w:p w:rsidR="00172A7E" w:rsidRPr="00384D54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tbl>
      <w:tblPr>
        <w:tblW w:w="10206" w:type="dxa"/>
        <w:jc w:val="center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4498"/>
      </w:tblGrid>
      <w:tr w:rsidR="00172A7E" w:rsidRPr="00384D54" w:rsidTr="00FE26CF">
        <w:trPr>
          <w:tblCellSpacing w:w="37" w:type="dxa"/>
          <w:jc w:val="center"/>
        </w:trPr>
        <w:tc>
          <w:tcPr>
            <w:tcW w:w="5597" w:type="dxa"/>
            <w:shd w:val="clear" w:color="auto" w:fill="C6D9F1"/>
          </w:tcPr>
          <w:p w:rsidR="00172A7E" w:rsidRPr="00384D54" w:rsidRDefault="00172A7E" w:rsidP="00172A7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384D54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Provvidenze Imprese</w:t>
            </w:r>
          </w:p>
        </w:tc>
        <w:tc>
          <w:tcPr>
            <w:tcW w:w="0" w:type="auto"/>
            <w:shd w:val="clear" w:color="auto" w:fill="C6D9F1"/>
          </w:tcPr>
          <w:p w:rsidR="00172A7E" w:rsidRPr="00384D54" w:rsidRDefault="00172A7E" w:rsidP="00172A7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384D54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Provvidenze Lavoratori</w:t>
            </w:r>
          </w:p>
        </w:tc>
      </w:tr>
      <w:tr w:rsidR="00172A7E" w:rsidRPr="00384D54" w:rsidTr="00FE26CF">
        <w:trPr>
          <w:tblCellSpacing w:w="37" w:type="dxa"/>
          <w:jc w:val="center"/>
        </w:trPr>
        <w:tc>
          <w:tcPr>
            <w:tcW w:w="5597" w:type="dxa"/>
            <w:hideMark/>
          </w:tcPr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4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FAA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 xml:space="preserve">- Formazione apprendisti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5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FAI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 xml:space="preserve">- Formazione imprese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6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EEI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>- Eventi eccezionali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7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BAC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 xml:space="preserve">- Provvidenza di bacino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8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MAN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>- Mantenimento occupazionale 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9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RAN/I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 xml:space="preserve"> - Rette per asili nido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0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CPI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 xml:space="preserve">- Contributo per gli investimenti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1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RLS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>- Formazione dei rappresentanti lavoratori per la sicurezza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12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 xml:space="preserve">CCM </w:t>
              </w:r>
              <w:r w:rsidR="00172A7E" w:rsidRPr="00384D54">
                <w:rPr>
                  <w:rFonts w:ascii="Century Gothic" w:hAnsi="Century Gothic"/>
                  <w:color w:val="000000"/>
                  <w:sz w:val="18"/>
                  <w:szCs w:val="18"/>
                  <w:u w:val="single"/>
                </w:rPr>
                <w:t>- Contributo carenza di malattia</w:t>
              </w:r>
            </w:hyperlink>
          </w:p>
        </w:tc>
        <w:tc>
          <w:tcPr>
            <w:tcW w:w="0" w:type="auto"/>
            <w:hideMark/>
          </w:tcPr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3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BDS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Borse di studio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4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APA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Anzianità professionale aziendale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5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SAR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Sostegno al reddito 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6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SCO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</w:t>
              </w:r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Diploma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Contributo alla scolarità 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7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SCO Università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Contributo alla scolarità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8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RAN/D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Rette per asili nido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19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CQA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Conferma in qualifica apprendistato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/>
                <w:sz w:val="18"/>
                <w:szCs w:val="18"/>
                <w:u w:val="single"/>
              </w:rPr>
            </w:pPr>
            <w:hyperlink r:id="rId20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CCP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Contributo congedo parentale</w:t>
              </w:r>
            </w:hyperlink>
          </w:p>
          <w:p w:rsidR="00172A7E" w:rsidRPr="00384D54" w:rsidRDefault="00025FEB" w:rsidP="00172A7E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hyperlink r:id="rId21" w:tgtFrame="_blank" w:history="1">
              <w:r w:rsidR="00172A7E" w:rsidRPr="00384D54">
                <w:rPr>
                  <w:rFonts w:ascii="Century Gothic" w:hAnsi="Century Gothic"/>
                  <w:b/>
                  <w:bCs/>
                  <w:color w:val="000000"/>
                  <w:sz w:val="18"/>
                  <w:szCs w:val="18"/>
                  <w:u w:val="single"/>
                </w:rPr>
                <w:t>SAD</w:t>
              </w:r>
              <w:r w:rsidR="00172A7E" w:rsidRPr="00384D54">
                <w:rPr>
                  <w:rFonts w:ascii="Century Gothic" w:hAnsi="Century Gothic"/>
                  <w:bCs/>
                  <w:color w:val="000000"/>
                  <w:sz w:val="18"/>
                  <w:szCs w:val="18"/>
                  <w:u w:val="single"/>
                </w:rPr>
                <w:t xml:space="preserve"> - Sostegno assistenza domiciliare</w:t>
              </w:r>
            </w:hyperlink>
            <w:r w:rsidR="00172A7E" w:rsidRPr="00384D54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:rsidR="00172A7E" w:rsidRPr="00384D54" w:rsidRDefault="00172A7E" w:rsidP="00172A7E">
      <w:pPr>
        <w:spacing w:after="45" w:line="48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:rsidR="00172A7E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Da segnalare</w:t>
      </w:r>
      <w:r w:rsidRPr="00966014">
        <w:rPr>
          <w:rFonts w:ascii="Century Gothic" w:hAnsi="Century Gothic" w:cs="Tahoma"/>
          <w:color w:val="000000"/>
        </w:rPr>
        <w:t xml:space="preserve"> l’introduzione delle provvidenze a favore dei lavoratori </w:t>
      </w:r>
      <w:r>
        <w:rPr>
          <w:rFonts w:ascii="Century Gothic" w:hAnsi="Century Gothic" w:cs="Tahoma"/>
          <w:color w:val="000000"/>
        </w:rPr>
        <w:t>“</w:t>
      </w:r>
      <w:r w:rsidRPr="00966014">
        <w:rPr>
          <w:rFonts w:ascii="Century Gothic" w:hAnsi="Century Gothic" w:cs="Tahoma"/>
          <w:color w:val="000000"/>
        </w:rPr>
        <w:t>Contributo alla scolarità Università</w:t>
      </w:r>
      <w:r>
        <w:rPr>
          <w:rFonts w:ascii="Century Gothic" w:hAnsi="Century Gothic" w:cs="Tahoma"/>
          <w:color w:val="000000"/>
        </w:rPr>
        <w:t>”</w:t>
      </w:r>
      <w:r w:rsidRPr="00966014">
        <w:rPr>
          <w:rFonts w:ascii="Century Gothic" w:hAnsi="Century Gothic" w:cs="Tahoma"/>
          <w:color w:val="000000"/>
        </w:rPr>
        <w:t xml:space="preserve"> e </w:t>
      </w:r>
      <w:r>
        <w:rPr>
          <w:rFonts w:ascii="Century Gothic" w:hAnsi="Century Gothic" w:cs="Tahoma"/>
          <w:color w:val="000000"/>
        </w:rPr>
        <w:t>“</w:t>
      </w:r>
      <w:r w:rsidRPr="00966014">
        <w:rPr>
          <w:rFonts w:ascii="Century Gothic" w:hAnsi="Century Gothic" w:cs="Tahoma"/>
          <w:color w:val="000000"/>
        </w:rPr>
        <w:t>Sostegno assistenza domiciliare</w:t>
      </w:r>
      <w:r>
        <w:rPr>
          <w:rFonts w:ascii="Century Gothic" w:hAnsi="Century Gothic" w:cs="Tahoma"/>
          <w:color w:val="000000"/>
        </w:rPr>
        <w:t>”.</w:t>
      </w:r>
    </w:p>
    <w:p w:rsidR="00172A7E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A</w:t>
      </w:r>
      <w:r w:rsidRPr="00966014">
        <w:rPr>
          <w:rFonts w:ascii="Century Gothic" w:hAnsi="Century Gothic" w:cs="Tahoma"/>
          <w:color w:val="000000"/>
        </w:rPr>
        <w:t xml:space="preserve"> favore delle imprese </w:t>
      </w:r>
      <w:r>
        <w:rPr>
          <w:rFonts w:ascii="Century Gothic" w:hAnsi="Century Gothic" w:cs="Tahoma"/>
          <w:color w:val="000000"/>
        </w:rPr>
        <w:t xml:space="preserve">è stata introdotto </w:t>
      </w:r>
      <w:r w:rsidRPr="00966014">
        <w:rPr>
          <w:rFonts w:ascii="Century Gothic" w:hAnsi="Century Gothic" w:cs="Tahoma"/>
          <w:color w:val="000000"/>
        </w:rPr>
        <w:t xml:space="preserve">il </w:t>
      </w:r>
      <w:r>
        <w:rPr>
          <w:rFonts w:ascii="Century Gothic" w:hAnsi="Century Gothic" w:cs="Tahoma"/>
          <w:color w:val="000000"/>
        </w:rPr>
        <w:t>“</w:t>
      </w:r>
      <w:r w:rsidRPr="00966014">
        <w:rPr>
          <w:rFonts w:ascii="Century Gothic" w:hAnsi="Century Gothic" w:cs="Tahoma"/>
          <w:color w:val="000000"/>
        </w:rPr>
        <w:t>Contributo Carenza Malattia</w:t>
      </w:r>
      <w:r>
        <w:rPr>
          <w:rFonts w:ascii="Century Gothic" w:hAnsi="Century Gothic" w:cs="Tahoma"/>
          <w:color w:val="000000"/>
        </w:rPr>
        <w:t>”</w:t>
      </w:r>
      <w:r w:rsidRPr="00966014">
        <w:rPr>
          <w:rFonts w:ascii="Century Gothic" w:hAnsi="Century Gothic" w:cs="Tahoma"/>
          <w:color w:val="000000"/>
        </w:rPr>
        <w:t>, che consiste in un contributo forfetario pari ad euro 150 “a copertura dei giorni di carenza”</w:t>
      </w:r>
      <w:r>
        <w:rPr>
          <w:rFonts w:ascii="Century Gothic" w:hAnsi="Century Gothic" w:cs="Tahoma"/>
          <w:color w:val="000000"/>
        </w:rPr>
        <w:t xml:space="preserve"> in presenza di eventi morbosi (sarà riconosciuto </w:t>
      </w:r>
      <w:r w:rsidRPr="00966014">
        <w:rPr>
          <w:rFonts w:ascii="Century Gothic" w:hAnsi="Century Gothic" w:cs="Tahoma"/>
          <w:color w:val="000000"/>
        </w:rPr>
        <w:t>non più di un contributo per dipendente per anno civile</w:t>
      </w:r>
      <w:r>
        <w:rPr>
          <w:rFonts w:ascii="Century Gothic" w:hAnsi="Century Gothic" w:cs="Tahoma"/>
          <w:color w:val="000000"/>
        </w:rPr>
        <w:t>)</w:t>
      </w:r>
      <w:r w:rsidRPr="00966014">
        <w:rPr>
          <w:rFonts w:ascii="Century Gothic" w:hAnsi="Century Gothic" w:cs="Tahoma"/>
          <w:color w:val="000000"/>
        </w:rPr>
        <w:t>.</w:t>
      </w:r>
    </w:p>
    <w:p w:rsidR="00172A7E" w:rsidRPr="00B31272" w:rsidRDefault="00172A7E" w:rsidP="00172A7E">
      <w:pPr>
        <w:spacing w:line="360" w:lineRule="auto"/>
        <w:jc w:val="both"/>
        <w:rPr>
          <w:rFonts w:ascii="Century Gothic" w:hAnsi="Century Gothic" w:cs="Tahoma"/>
          <w:color w:val="000000"/>
        </w:rPr>
      </w:pPr>
      <w:r w:rsidRPr="00B31272">
        <w:rPr>
          <w:rFonts w:ascii="Century Gothic" w:hAnsi="Century Gothic" w:cs="Tahoma"/>
          <w:color w:val="000000"/>
        </w:rPr>
        <w:t xml:space="preserve">Le provvidenze ELBA possono essere richieste anche telematicamente, </w:t>
      </w:r>
      <w:r>
        <w:rPr>
          <w:rFonts w:ascii="Century Gothic" w:hAnsi="Century Gothic" w:cs="Tahoma"/>
          <w:color w:val="000000"/>
        </w:rPr>
        <w:t>inviando</w:t>
      </w:r>
      <w:r w:rsidRPr="00B31272">
        <w:rPr>
          <w:rFonts w:ascii="Century Gothic" w:hAnsi="Century Gothic" w:cs="Tahoma"/>
          <w:color w:val="000000"/>
        </w:rPr>
        <w:t xml:space="preserve"> a </w:t>
      </w:r>
      <w:r>
        <w:rPr>
          <w:rFonts w:ascii="Century Gothic" w:hAnsi="Century Gothic" w:cs="Tahoma"/>
          <w:color w:val="000000"/>
        </w:rPr>
        <w:t xml:space="preserve">mezzo </w:t>
      </w:r>
      <w:r w:rsidRPr="00B31272">
        <w:rPr>
          <w:rFonts w:ascii="Century Gothic" w:hAnsi="Century Gothic" w:cs="Tahoma"/>
          <w:color w:val="000000"/>
        </w:rPr>
        <w:t xml:space="preserve">PEC all’indirizzo </w:t>
      </w:r>
      <w:hyperlink r:id="rId22" w:history="1">
        <w:r w:rsidRPr="00B31272">
          <w:rPr>
            <w:rFonts w:ascii="Century Gothic" w:hAnsi="Century Gothic" w:cs="Tahoma"/>
          </w:rPr>
          <w:t>ebacomo@pec.elba.lombardia.it</w:t>
        </w:r>
      </w:hyperlink>
      <w:r w:rsidRPr="00B31272">
        <w:rPr>
          <w:rFonts w:ascii="Century Gothic" w:hAnsi="Century Gothic" w:cs="Tahoma"/>
          <w:color w:val="000000"/>
        </w:rPr>
        <w:t xml:space="preserve"> (per la </w:t>
      </w:r>
      <w:r>
        <w:rPr>
          <w:rFonts w:ascii="Century Gothic" w:hAnsi="Century Gothic" w:cs="Tahoma"/>
          <w:color w:val="000000"/>
        </w:rPr>
        <w:t xml:space="preserve">sola </w:t>
      </w:r>
      <w:r w:rsidRPr="00B31272">
        <w:rPr>
          <w:rFonts w:ascii="Century Gothic" w:hAnsi="Century Gothic" w:cs="Tahoma"/>
          <w:color w:val="000000"/>
        </w:rPr>
        <w:t>provincia di Como)</w:t>
      </w:r>
      <w:r>
        <w:rPr>
          <w:rFonts w:ascii="Century Gothic" w:hAnsi="Century Gothic" w:cs="Tahoma"/>
          <w:color w:val="000000"/>
        </w:rPr>
        <w:t xml:space="preserve"> </w:t>
      </w:r>
      <w:r w:rsidRPr="00B31272">
        <w:rPr>
          <w:rFonts w:ascii="Century Gothic" w:hAnsi="Century Gothic" w:cs="Tahoma"/>
          <w:color w:val="000000"/>
        </w:rPr>
        <w:t>la scansione della modulistica ELBA, la carta d’identità del soggetto richiedente (titolare, rappresentante</w:t>
      </w:r>
      <w:r>
        <w:rPr>
          <w:rFonts w:ascii="Century Gothic" w:hAnsi="Century Gothic" w:cs="Tahoma"/>
          <w:color w:val="000000"/>
        </w:rPr>
        <w:t xml:space="preserve"> legale</w:t>
      </w:r>
      <w:r w:rsidRPr="00B31272">
        <w:rPr>
          <w:rFonts w:ascii="Century Gothic" w:hAnsi="Century Gothic" w:cs="Tahoma"/>
          <w:color w:val="000000"/>
        </w:rPr>
        <w:t>, dipendente) e la documentazione integrativa richiesta dalla provvidenza.</w:t>
      </w:r>
    </w:p>
    <w:sectPr w:rsidR="00172A7E" w:rsidRPr="00B31272" w:rsidSect="00D637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7E"/>
    <w:rsid w:val="00025FEB"/>
    <w:rsid w:val="00172A7E"/>
    <w:rsid w:val="004521FE"/>
    <w:rsid w:val="004659BC"/>
    <w:rsid w:val="00D6377B"/>
    <w:rsid w:val="00D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09BC-59DC-400B-A9BC-D1C3BDEC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a.lombardia.it/public/UploadAttach/File/2015%20Modulistica/MAN_ManualeOperativo%20-%202015.pdf" TargetMode="External"/><Relationship Id="rId13" Type="http://schemas.openxmlformats.org/officeDocument/2006/relationships/hyperlink" Target="http://www.elba.lombardia.it/public/UploadAttach/File/2015%20Modulistica/BDS_ManualeOperativo%202015.pdf" TargetMode="External"/><Relationship Id="rId18" Type="http://schemas.openxmlformats.org/officeDocument/2006/relationships/hyperlink" Target="http://www.elba.lombardia.it/public/UploadAttach/File/2015%20Modulistica/RAN_ManualeOperativo_Dipendente%20-20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ba.lombardia.it/public/UploadAttach/File/2015%20Modulistica/SAD_ManualeOperativo%202015%281%29.pdf" TargetMode="External"/><Relationship Id="rId7" Type="http://schemas.openxmlformats.org/officeDocument/2006/relationships/hyperlink" Target="http://www.elba.lombardia.it/public/UploadAttach/File/2015%20Modulistica/BAC_ManualeOperativo%20-%202015.pdf" TargetMode="External"/><Relationship Id="rId12" Type="http://schemas.openxmlformats.org/officeDocument/2006/relationships/hyperlink" Target="http://www.elba.lombardia.it/public/UploadAttach/File/2015%20Modulistica/CCM_ManualeOperativo%20-%202015%281%29.pdf" TargetMode="External"/><Relationship Id="rId17" Type="http://schemas.openxmlformats.org/officeDocument/2006/relationships/hyperlink" Target="http://www.elba.lombardia.it/public/UploadAttach/File/2015%20Modulistica/SCO-UNI_ManualeOperativo%20-%202015%282%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ba.lombardia.it/public/UploadAttach/File/2015%20Modulistica/modulistica%20SCO_Diploma%202015.pdf" TargetMode="External"/><Relationship Id="rId20" Type="http://schemas.openxmlformats.org/officeDocument/2006/relationships/hyperlink" Target="http://www.elba.lombardia.it/public/UploadAttach/File/2015%20Modulistica/CCP_ManualeOperativo%20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ba.lombardia.it/public/UploadAttach/File/2015%20Modulistica/EEI_ManualeOperativo%20-2015.pdf" TargetMode="External"/><Relationship Id="rId11" Type="http://schemas.openxmlformats.org/officeDocument/2006/relationships/hyperlink" Target="http://www.elba.lombardia.it/public/UploadAttach/File/2015%20Modulistica/RLS_ManualeOperativo%20201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lba.lombardia.it/public/UploadAttach/File/2015%20Modulistica/FAI_ManualeOperativo%20-%202015.pdf" TargetMode="External"/><Relationship Id="rId15" Type="http://schemas.openxmlformats.org/officeDocument/2006/relationships/hyperlink" Target="http://www.elba.lombardia.it/public/UploadAttach/File/2015%20Modulistica/SAR_ManualeOperativo%20-%20201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ba.lombardia.it/public/UploadAttach/File/2015%20Modulistica/CPI_ManualeOperativo%20-%202015.pdf" TargetMode="External"/><Relationship Id="rId19" Type="http://schemas.openxmlformats.org/officeDocument/2006/relationships/hyperlink" Target="http://www.elba.lombardia.it/public/UploadAttach/File/2015%20Modulistica/CQA_ManualeOperativo%202015.pdf" TargetMode="External"/><Relationship Id="rId4" Type="http://schemas.openxmlformats.org/officeDocument/2006/relationships/hyperlink" Target="http://www.elba.lombardia.it/public/UploadAttach/File/2015%20Modulistica/FAA_ManualeOperativo%20-%202015.pdf" TargetMode="External"/><Relationship Id="rId9" Type="http://schemas.openxmlformats.org/officeDocument/2006/relationships/hyperlink" Target="http://www.elba.lombardia.it/public/UploadAttach/File/2015%20Modulistica/RAN_ManualeOperativo_IMPRESA_2015.pdf" TargetMode="External"/><Relationship Id="rId14" Type="http://schemas.openxmlformats.org/officeDocument/2006/relationships/hyperlink" Target="http://www.elba.lombardia.it/public/UploadAttach/File/2015%20Modulistica/APA_ManualeOperativo%202015.pdf" TargetMode="External"/><Relationship Id="rId22" Type="http://schemas.openxmlformats.org/officeDocument/2006/relationships/hyperlink" Target="mailto:ebacomo@pec.elba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Caramel</dc:creator>
  <cp:lastModifiedBy>Fausto Basaglia</cp:lastModifiedBy>
  <cp:revision>2</cp:revision>
  <cp:lastPrinted>2015-07-23T12:51:00Z</cp:lastPrinted>
  <dcterms:created xsi:type="dcterms:W3CDTF">2015-07-23T12:52:00Z</dcterms:created>
  <dcterms:modified xsi:type="dcterms:W3CDTF">2015-07-23T12:52:00Z</dcterms:modified>
</cp:coreProperties>
</file>